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both"/>
        <w:rPr>
          <w:rFonts w:hint="eastAsia" w:ascii="仿宋" w:hAnsi="仿宋" w:eastAsia="仿宋" w:cs="仿宋"/>
          <w:b w:val="0"/>
          <w:i w:val="0"/>
          <w:caps w:val="0"/>
          <w:color w:val="auto"/>
          <w:spacing w:val="0"/>
          <w:sz w:val="31"/>
          <w:szCs w:val="31"/>
          <w:lang w:val="en-US" w:eastAsia="zh-CN"/>
        </w:rPr>
      </w:pPr>
    </w:p>
    <w:p>
      <w:pPr>
        <w:ind w:firstLine="620" w:firstLineChars="200"/>
        <w:jc w:val="both"/>
        <w:rPr>
          <w:rFonts w:hint="eastAsia" w:ascii="仿宋" w:hAnsi="仿宋" w:eastAsia="仿宋" w:cs="仿宋"/>
          <w:b w:val="0"/>
          <w:i w:val="0"/>
          <w:caps w:val="0"/>
          <w:color w:val="auto"/>
          <w:spacing w:val="0"/>
          <w:sz w:val="31"/>
          <w:szCs w:val="31"/>
          <w:lang w:val="en-US" w:eastAsia="zh-CN"/>
        </w:rPr>
      </w:pPr>
      <w:r>
        <w:rPr>
          <w:rFonts w:hint="eastAsia" w:ascii="仿宋" w:hAnsi="仿宋" w:eastAsia="仿宋" w:cs="仿宋"/>
          <w:b w:val="0"/>
          <w:i w:val="0"/>
          <w:caps w:val="0"/>
          <w:color w:val="auto"/>
          <w:spacing w:val="0"/>
          <w:sz w:val="31"/>
          <w:szCs w:val="31"/>
          <w:lang w:val="en-US" w:eastAsia="zh-CN"/>
        </w:rPr>
        <w:t>附件2：拟结题名单</w:t>
      </w:r>
    </w:p>
    <w:tbl>
      <w:tblPr>
        <w:tblStyle w:val="4"/>
        <w:tblW w:w="14058" w:type="dxa"/>
        <w:tblInd w:w="0" w:type="dxa"/>
        <w:shd w:val="clear" w:color="auto" w:fill="auto"/>
        <w:tblLayout w:type="fixed"/>
        <w:tblCellMar>
          <w:top w:w="0" w:type="dxa"/>
          <w:left w:w="0" w:type="dxa"/>
          <w:bottom w:w="0" w:type="dxa"/>
          <w:right w:w="0" w:type="dxa"/>
        </w:tblCellMar>
      </w:tblPr>
      <w:tblGrid>
        <w:gridCol w:w="544"/>
        <w:gridCol w:w="1215"/>
        <w:gridCol w:w="1665"/>
        <w:gridCol w:w="7590"/>
        <w:gridCol w:w="3044"/>
      </w:tblGrid>
      <w:tr>
        <w:tblPrEx>
          <w:shd w:val="clear" w:color="auto" w:fill="auto"/>
          <w:tblCellMar>
            <w:top w:w="0" w:type="dxa"/>
            <w:left w:w="0" w:type="dxa"/>
            <w:bottom w:w="0" w:type="dxa"/>
            <w:right w:w="0" w:type="dxa"/>
          </w:tblCellMar>
        </w:tblPrEx>
        <w:trPr>
          <w:trHeight w:val="480" w:hRule="atLeast"/>
        </w:trPr>
        <w:tc>
          <w:tcPr>
            <w:tcW w:w="54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kern w:val="0"/>
                <w:sz w:val="24"/>
                <w:szCs w:val="24"/>
                <w:u w:val="none"/>
                <w:lang w:val="en-US" w:eastAsia="zh-CN" w:bidi="ar"/>
              </w:rPr>
            </w:pPr>
            <w:r>
              <w:rPr>
                <w:rFonts w:hint="eastAsia" w:ascii="宋体" w:hAnsi="宋体" w:eastAsia="宋体" w:cs="宋体"/>
                <w:b/>
                <w:i w:val="0"/>
                <w:color w:val="auto"/>
                <w:kern w:val="0"/>
                <w:sz w:val="24"/>
                <w:szCs w:val="24"/>
                <w:u w:val="none"/>
                <w:lang w:val="en-US" w:eastAsia="zh-CN" w:bidi="ar"/>
              </w:rPr>
              <w:t>序号</w:t>
            </w:r>
          </w:p>
        </w:tc>
        <w:tc>
          <w:tcPr>
            <w:tcW w:w="121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kern w:val="0"/>
                <w:sz w:val="24"/>
                <w:szCs w:val="24"/>
                <w:u w:val="none"/>
                <w:lang w:val="en-US" w:eastAsia="zh-CN" w:bidi="ar"/>
              </w:rPr>
            </w:pPr>
            <w:r>
              <w:rPr>
                <w:rFonts w:hint="eastAsia" w:ascii="宋体" w:hAnsi="宋体" w:eastAsia="宋体" w:cs="宋体"/>
                <w:b/>
                <w:i w:val="0"/>
                <w:color w:val="auto"/>
                <w:kern w:val="0"/>
                <w:sz w:val="24"/>
                <w:szCs w:val="24"/>
                <w:u w:val="none"/>
                <w:lang w:val="en-US" w:eastAsia="zh-CN" w:bidi="ar"/>
              </w:rPr>
              <w:t>课题编号</w:t>
            </w:r>
          </w:p>
        </w:tc>
        <w:tc>
          <w:tcPr>
            <w:tcW w:w="16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kern w:val="0"/>
                <w:sz w:val="24"/>
                <w:szCs w:val="24"/>
                <w:u w:val="none"/>
                <w:lang w:val="en-US" w:eastAsia="zh-CN" w:bidi="ar"/>
              </w:rPr>
            </w:pPr>
            <w:r>
              <w:rPr>
                <w:rFonts w:hint="eastAsia" w:ascii="宋体" w:hAnsi="宋体" w:eastAsia="宋体" w:cs="宋体"/>
                <w:b/>
                <w:i w:val="0"/>
                <w:color w:val="auto"/>
                <w:kern w:val="0"/>
                <w:sz w:val="24"/>
                <w:szCs w:val="24"/>
                <w:u w:val="none"/>
                <w:lang w:val="en-US" w:eastAsia="zh-CN" w:bidi="ar"/>
              </w:rPr>
              <w:t>课题承担人</w:t>
            </w:r>
          </w:p>
        </w:tc>
        <w:tc>
          <w:tcPr>
            <w:tcW w:w="75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kern w:val="0"/>
                <w:sz w:val="24"/>
                <w:szCs w:val="24"/>
                <w:u w:val="none"/>
                <w:lang w:val="en-US" w:eastAsia="zh-CN" w:bidi="ar"/>
              </w:rPr>
            </w:pPr>
            <w:r>
              <w:rPr>
                <w:rFonts w:hint="eastAsia" w:ascii="宋体" w:hAnsi="宋体" w:eastAsia="宋体" w:cs="宋体"/>
                <w:b/>
                <w:i w:val="0"/>
                <w:color w:val="auto"/>
                <w:kern w:val="0"/>
                <w:sz w:val="24"/>
                <w:szCs w:val="24"/>
                <w:u w:val="none"/>
                <w:lang w:val="en-US" w:eastAsia="zh-CN" w:bidi="ar"/>
              </w:rPr>
              <w:t>课题名称</w:t>
            </w:r>
          </w:p>
        </w:tc>
        <w:tc>
          <w:tcPr>
            <w:tcW w:w="304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b/>
                <w:i w:val="0"/>
                <w:color w:val="auto"/>
                <w:kern w:val="0"/>
                <w:sz w:val="24"/>
                <w:szCs w:val="24"/>
                <w:u w:val="none"/>
                <w:lang w:val="en-US" w:eastAsia="zh-CN" w:bidi="ar"/>
              </w:rPr>
            </w:pPr>
            <w:r>
              <w:rPr>
                <w:rFonts w:hint="eastAsia" w:ascii="宋体" w:hAnsi="宋体" w:eastAsia="宋体" w:cs="宋体"/>
                <w:b/>
                <w:i w:val="0"/>
                <w:color w:val="auto"/>
                <w:kern w:val="0"/>
                <w:sz w:val="24"/>
                <w:szCs w:val="24"/>
                <w:u w:val="none"/>
                <w:lang w:val="en-US" w:eastAsia="zh-CN" w:bidi="ar"/>
              </w:rPr>
              <w:t>评审结果</w:t>
            </w:r>
          </w:p>
        </w:tc>
      </w:tr>
      <w:tr>
        <w:tblPrEx>
          <w:tblCellMar>
            <w:top w:w="0" w:type="dxa"/>
            <w:left w:w="0" w:type="dxa"/>
            <w:bottom w:w="0" w:type="dxa"/>
            <w:right w:w="0" w:type="dxa"/>
          </w:tblCellMar>
        </w:tblPrEx>
        <w:trPr>
          <w:trHeight w:val="480" w:hRule="atLeast"/>
        </w:trPr>
        <w:tc>
          <w:tcPr>
            <w:tcW w:w="54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1</w:t>
            </w:r>
          </w:p>
        </w:tc>
        <w:tc>
          <w:tcPr>
            <w:tcW w:w="121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GH-17106</w:t>
            </w:r>
          </w:p>
        </w:tc>
        <w:tc>
          <w:tcPr>
            <w:tcW w:w="16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孔  红</w:t>
            </w:r>
          </w:p>
        </w:tc>
        <w:tc>
          <w:tcPr>
            <w:tcW w:w="75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ind w:left="0" w:leftChars="0" w:firstLine="220" w:firstLineChars="110"/>
              <w:jc w:val="left"/>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工匠精神引领高职创新人才培养的研究与实践</w:t>
            </w:r>
          </w:p>
        </w:tc>
        <w:tc>
          <w:tcPr>
            <w:tcW w:w="304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优秀</w:t>
            </w:r>
          </w:p>
        </w:tc>
      </w:tr>
      <w:tr>
        <w:tblPrEx>
          <w:tblCellMar>
            <w:top w:w="0" w:type="dxa"/>
            <w:left w:w="0" w:type="dxa"/>
            <w:bottom w:w="0" w:type="dxa"/>
            <w:right w:w="0" w:type="dxa"/>
          </w:tblCellMar>
        </w:tblPrEx>
        <w:trPr>
          <w:trHeight w:val="480" w:hRule="atLeast"/>
        </w:trPr>
        <w:tc>
          <w:tcPr>
            <w:tcW w:w="54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2</w:t>
            </w:r>
          </w:p>
        </w:tc>
        <w:tc>
          <w:tcPr>
            <w:tcW w:w="121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GH-16140</w:t>
            </w:r>
          </w:p>
        </w:tc>
        <w:tc>
          <w:tcPr>
            <w:tcW w:w="16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张  燕</w:t>
            </w:r>
          </w:p>
        </w:tc>
        <w:tc>
          <w:tcPr>
            <w:tcW w:w="75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ind w:left="0" w:leftChars="0" w:firstLine="220" w:firstLineChars="110"/>
              <w:jc w:val="left"/>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中国优秀传统文化在高职院校大学生思想政治教育中的应用研究</w:t>
            </w:r>
          </w:p>
        </w:tc>
        <w:tc>
          <w:tcPr>
            <w:tcW w:w="304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良好</w:t>
            </w:r>
          </w:p>
        </w:tc>
      </w:tr>
      <w:tr>
        <w:tblPrEx>
          <w:tblCellMar>
            <w:top w:w="0" w:type="dxa"/>
            <w:left w:w="0" w:type="dxa"/>
            <w:bottom w:w="0" w:type="dxa"/>
            <w:right w:w="0" w:type="dxa"/>
          </w:tblCellMar>
        </w:tblPrEx>
        <w:trPr>
          <w:trHeight w:val="480" w:hRule="atLeast"/>
        </w:trPr>
        <w:tc>
          <w:tcPr>
            <w:tcW w:w="54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3</w:t>
            </w:r>
          </w:p>
        </w:tc>
        <w:tc>
          <w:tcPr>
            <w:tcW w:w="121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GH-16142</w:t>
            </w:r>
          </w:p>
        </w:tc>
        <w:tc>
          <w:tcPr>
            <w:tcW w:w="16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张颖帅</w:t>
            </w:r>
          </w:p>
        </w:tc>
        <w:tc>
          <w:tcPr>
            <w:tcW w:w="75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ind w:left="0" w:leftChars="0" w:firstLine="220" w:firstLineChars="110"/>
              <w:jc w:val="left"/>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当代大学生红色文化教育研究</w:t>
            </w:r>
          </w:p>
        </w:tc>
        <w:tc>
          <w:tcPr>
            <w:tcW w:w="304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良好</w:t>
            </w:r>
          </w:p>
        </w:tc>
      </w:tr>
      <w:tr>
        <w:tblPrEx>
          <w:tblCellMar>
            <w:top w:w="0" w:type="dxa"/>
            <w:left w:w="0" w:type="dxa"/>
            <w:bottom w:w="0" w:type="dxa"/>
            <w:right w:w="0" w:type="dxa"/>
          </w:tblCellMar>
        </w:tblPrEx>
        <w:trPr>
          <w:trHeight w:val="480" w:hRule="atLeast"/>
        </w:trPr>
        <w:tc>
          <w:tcPr>
            <w:tcW w:w="54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4</w:t>
            </w:r>
          </w:p>
        </w:tc>
        <w:tc>
          <w:tcPr>
            <w:tcW w:w="121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ZX-18122</w:t>
            </w:r>
          </w:p>
        </w:tc>
        <w:tc>
          <w:tcPr>
            <w:tcW w:w="16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田玉明</w:t>
            </w:r>
          </w:p>
        </w:tc>
        <w:tc>
          <w:tcPr>
            <w:tcW w:w="75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ind w:left="0" w:leftChars="0" w:firstLine="220" w:firstLineChars="110"/>
              <w:jc w:val="left"/>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高职院校卓越双师型教师队伍建设研究与探索</w:t>
            </w:r>
          </w:p>
        </w:tc>
        <w:tc>
          <w:tcPr>
            <w:tcW w:w="304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良好</w:t>
            </w:r>
          </w:p>
        </w:tc>
      </w:tr>
      <w:tr>
        <w:tblPrEx>
          <w:tblCellMar>
            <w:top w:w="0" w:type="dxa"/>
            <w:left w:w="0" w:type="dxa"/>
            <w:bottom w:w="0" w:type="dxa"/>
            <w:right w:w="0" w:type="dxa"/>
          </w:tblCellMar>
        </w:tblPrEx>
        <w:trPr>
          <w:trHeight w:val="480" w:hRule="atLeast"/>
        </w:trPr>
        <w:tc>
          <w:tcPr>
            <w:tcW w:w="54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5</w:t>
            </w:r>
          </w:p>
        </w:tc>
        <w:tc>
          <w:tcPr>
            <w:tcW w:w="121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GH-16129</w:t>
            </w:r>
          </w:p>
        </w:tc>
        <w:tc>
          <w:tcPr>
            <w:tcW w:w="16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马  宁</w:t>
            </w:r>
          </w:p>
        </w:tc>
        <w:tc>
          <w:tcPr>
            <w:tcW w:w="75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ind w:left="0" w:leftChars="0" w:firstLine="220" w:firstLineChars="110"/>
              <w:jc w:val="left"/>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《PLC控制系统运行与维护》理实一体教学模式实践研究</w:t>
            </w:r>
          </w:p>
        </w:tc>
        <w:tc>
          <w:tcPr>
            <w:tcW w:w="304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良好</w:t>
            </w:r>
          </w:p>
        </w:tc>
      </w:tr>
      <w:tr>
        <w:tblPrEx>
          <w:tblCellMar>
            <w:top w:w="0" w:type="dxa"/>
            <w:left w:w="0" w:type="dxa"/>
            <w:bottom w:w="0" w:type="dxa"/>
            <w:right w:w="0" w:type="dxa"/>
          </w:tblCellMar>
        </w:tblPrEx>
        <w:trPr>
          <w:trHeight w:val="480" w:hRule="atLeast"/>
        </w:trPr>
        <w:tc>
          <w:tcPr>
            <w:tcW w:w="54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6</w:t>
            </w:r>
          </w:p>
        </w:tc>
        <w:tc>
          <w:tcPr>
            <w:tcW w:w="121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GH-16130</w:t>
            </w:r>
          </w:p>
        </w:tc>
        <w:tc>
          <w:tcPr>
            <w:tcW w:w="16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姚瑞敏</w:t>
            </w:r>
          </w:p>
        </w:tc>
        <w:tc>
          <w:tcPr>
            <w:tcW w:w="75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ind w:left="0" w:leftChars="0" w:firstLine="220" w:firstLineChars="110"/>
              <w:jc w:val="left"/>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山西省高职院校国际合作办学项目课程设置的实践研究</w:t>
            </w:r>
          </w:p>
        </w:tc>
        <w:tc>
          <w:tcPr>
            <w:tcW w:w="304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良好</w:t>
            </w:r>
          </w:p>
        </w:tc>
      </w:tr>
      <w:tr>
        <w:tblPrEx>
          <w:tblCellMar>
            <w:top w:w="0" w:type="dxa"/>
            <w:left w:w="0" w:type="dxa"/>
            <w:bottom w:w="0" w:type="dxa"/>
            <w:right w:w="0" w:type="dxa"/>
          </w:tblCellMar>
        </w:tblPrEx>
        <w:trPr>
          <w:trHeight w:val="480" w:hRule="atLeast"/>
        </w:trPr>
        <w:tc>
          <w:tcPr>
            <w:tcW w:w="54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lang w:val="en-US" w:eastAsia="zh-CN"/>
              </w:rPr>
            </w:pPr>
            <w:r>
              <w:rPr>
                <w:rFonts w:hint="eastAsia" w:ascii="宋体" w:hAnsi="宋体" w:eastAsia="宋体" w:cs="宋体"/>
                <w:i w:val="0"/>
                <w:color w:val="auto"/>
                <w:sz w:val="20"/>
                <w:szCs w:val="20"/>
                <w:u w:val="none"/>
                <w:lang w:val="en-US" w:eastAsia="zh-CN"/>
              </w:rPr>
              <w:t>7</w:t>
            </w:r>
          </w:p>
        </w:tc>
        <w:tc>
          <w:tcPr>
            <w:tcW w:w="121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GH-16132</w:t>
            </w:r>
          </w:p>
        </w:tc>
        <w:tc>
          <w:tcPr>
            <w:tcW w:w="16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富伯亭</w:t>
            </w:r>
          </w:p>
        </w:tc>
        <w:tc>
          <w:tcPr>
            <w:tcW w:w="75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ind w:left="0" w:leftChars="0" w:firstLine="220" w:firstLineChars="110"/>
              <w:jc w:val="left"/>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将数学实验融入高职数学教学的实践研究</w:t>
            </w:r>
          </w:p>
        </w:tc>
        <w:tc>
          <w:tcPr>
            <w:tcW w:w="304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良好</w:t>
            </w:r>
          </w:p>
        </w:tc>
      </w:tr>
      <w:tr>
        <w:tblPrEx>
          <w:tblCellMar>
            <w:top w:w="0" w:type="dxa"/>
            <w:left w:w="0" w:type="dxa"/>
            <w:bottom w:w="0" w:type="dxa"/>
            <w:right w:w="0" w:type="dxa"/>
          </w:tblCellMar>
        </w:tblPrEx>
        <w:trPr>
          <w:trHeight w:val="480" w:hRule="atLeast"/>
        </w:trPr>
        <w:tc>
          <w:tcPr>
            <w:tcW w:w="54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8</w:t>
            </w:r>
          </w:p>
        </w:tc>
        <w:tc>
          <w:tcPr>
            <w:tcW w:w="121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GH-16134</w:t>
            </w:r>
          </w:p>
        </w:tc>
        <w:tc>
          <w:tcPr>
            <w:tcW w:w="16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郭  菲</w:t>
            </w:r>
          </w:p>
        </w:tc>
        <w:tc>
          <w:tcPr>
            <w:tcW w:w="75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ind w:left="0" w:leftChars="0" w:firstLine="220" w:firstLineChars="110"/>
              <w:jc w:val="left"/>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物流管理专业现代学徒制人才培养模式研究</w:t>
            </w:r>
          </w:p>
        </w:tc>
        <w:tc>
          <w:tcPr>
            <w:tcW w:w="304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良好</w:t>
            </w:r>
          </w:p>
        </w:tc>
      </w:tr>
      <w:tr>
        <w:tblPrEx>
          <w:tblCellMar>
            <w:top w:w="0" w:type="dxa"/>
            <w:left w:w="0" w:type="dxa"/>
            <w:bottom w:w="0" w:type="dxa"/>
            <w:right w:w="0" w:type="dxa"/>
          </w:tblCellMar>
        </w:tblPrEx>
        <w:trPr>
          <w:trHeight w:val="480" w:hRule="atLeast"/>
        </w:trPr>
        <w:tc>
          <w:tcPr>
            <w:tcW w:w="54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9</w:t>
            </w:r>
          </w:p>
        </w:tc>
        <w:tc>
          <w:tcPr>
            <w:tcW w:w="121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GH-16135</w:t>
            </w:r>
          </w:p>
        </w:tc>
        <w:tc>
          <w:tcPr>
            <w:tcW w:w="16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史学红</w:t>
            </w:r>
          </w:p>
        </w:tc>
        <w:tc>
          <w:tcPr>
            <w:tcW w:w="75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ind w:left="0" w:leftChars="0" w:firstLine="220" w:firstLineChars="110"/>
              <w:jc w:val="left"/>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冶金类专业中高职人才培养的衔接</w:t>
            </w:r>
          </w:p>
        </w:tc>
        <w:tc>
          <w:tcPr>
            <w:tcW w:w="304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良好</w:t>
            </w:r>
          </w:p>
        </w:tc>
      </w:tr>
      <w:tr>
        <w:tblPrEx>
          <w:tblCellMar>
            <w:top w:w="0" w:type="dxa"/>
            <w:left w:w="0" w:type="dxa"/>
            <w:bottom w:w="0" w:type="dxa"/>
            <w:right w:w="0" w:type="dxa"/>
          </w:tblCellMar>
        </w:tblPrEx>
        <w:trPr>
          <w:trHeight w:val="480" w:hRule="atLeast"/>
        </w:trPr>
        <w:tc>
          <w:tcPr>
            <w:tcW w:w="54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auto"/>
                <w:sz w:val="20"/>
                <w:szCs w:val="20"/>
                <w:u w:val="none"/>
                <w:lang w:val="en-US"/>
              </w:rPr>
            </w:pPr>
            <w:r>
              <w:rPr>
                <w:rFonts w:hint="eastAsia" w:ascii="宋体" w:hAnsi="宋体" w:eastAsia="宋体" w:cs="宋体"/>
                <w:i w:val="0"/>
                <w:color w:val="auto"/>
                <w:kern w:val="0"/>
                <w:sz w:val="20"/>
                <w:szCs w:val="20"/>
                <w:u w:val="none"/>
                <w:lang w:val="en-US" w:eastAsia="zh-CN" w:bidi="ar"/>
              </w:rPr>
              <w:t>10</w:t>
            </w:r>
          </w:p>
        </w:tc>
        <w:tc>
          <w:tcPr>
            <w:tcW w:w="121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GH-16136</w:t>
            </w:r>
          </w:p>
        </w:tc>
        <w:tc>
          <w:tcPr>
            <w:tcW w:w="16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薛  方</w:t>
            </w:r>
          </w:p>
        </w:tc>
        <w:tc>
          <w:tcPr>
            <w:tcW w:w="75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ind w:left="0" w:leftChars="0" w:firstLine="220" w:firstLineChars="110"/>
              <w:jc w:val="left"/>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冶金类专业教学资源库的建设研究</w:t>
            </w:r>
          </w:p>
        </w:tc>
        <w:tc>
          <w:tcPr>
            <w:tcW w:w="304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良好</w:t>
            </w:r>
          </w:p>
        </w:tc>
      </w:tr>
      <w:tr>
        <w:tblPrEx>
          <w:tblCellMar>
            <w:top w:w="0" w:type="dxa"/>
            <w:left w:w="0" w:type="dxa"/>
            <w:bottom w:w="0" w:type="dxa"/>
            <w:right w:w="0" w:type="dxa"/>
          </w:tblCellMar>
        </w:tblPrEx>
        <w:trPr>
          <w:trHeight w:val="570" w:hRule="atLeast"/>
        </w:trPr>
        <w:tc>
          <w:tcPr>
            <w:tcW w:w="54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auto"/>
                <w:sz w:val="20"/>
                <w:szCs w:val="20"/>
                <w:u w:val="none"/>
                <w:lang w:val="en-US"/>
              </w:rPr>
            </w:pPr>
            <w:r>
              <w:rPr>
                <w:rFonts w:hint="eastAsia" w:ascii="宋体" w:hAnsi="宋体" w:eastAsia="宋体" w:cs="宋体"/>
                <w:i w:val="0"/>
                <w:color w:val="auto"/>
                <w:kern w:val="0"/>
                <w:sz w:val="20"/>
                <w:szCs w:val="20"/>
                <w:u w:val="none"/>
                <w:lang w:val="en-US" w:eastAsia="zh-CN" w:bidi="ar"/>
              </w:rPr>
              <w:t>11</w:t>
            </w:r>
          </w:p>
        </w:tc>
        <w:tc>
          <w:tcPr>
            <w:tcW w:w="121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GH-17107</w:t>
            </w:r>
          </w:p>
        </w:tc>
        <w:tc>
          <w:tcPr>
            <w:tcW w:w="16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皇甫勇兵</w:t>
            </w:r>
          </w:p>
        </w:tc>
        <w:tc>
          <w:tcPr>
            <w:tcW w:w="75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ind w:left="0" w:leftChars="0" w:firstLine="220" w:firstLineChars="110"/>
              <w:jc w:val="left"/>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基于产教融合的工业机器人新型紧缺性人才培养供给侧改革的探索与研究</w:t>
            </w:r>
          </w:p>
        </w:tc>
        <w:tc>
          <w:tcPr>
            <w:tcW w:w="304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良好</w:t>
            </w:r>
          </w:p>
        </w:tc>
      </w:tr>
      <w:tr>
        <w:tblPrEx>
          <w:tblCellMar>
            <w:top w:w="0" w:type="dxa"/>
            <w:left w:w="0" w:type="dxa"/>
            <w:bottom w:w="0" w:type="dxa"/>
            <w:right w:w="0" w:type="dxa"/>
          </w:tblCellMar>
        </w:tblPrEx>
        <w:trPr>
          <w:trHeight w:val="480" w:hRule="atLeast"/>
        </w:trPr>
        <w:tc>
          <w:tcPr>
            <w:tcW w:w="54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auto"/>
                <w:sz w:val="20"/>
                <w:szCs w:val="20"/>
                <w:u w:val="none"/>
                <w:lang w:val="en-US"/>
              </w:rPr>
            </w:pPr>
            <w:r>
              <w:rPr>
                <w:rFonts w:hint="eastAsia" w:ascii="宋体" w:hAnsi="宋体" w:eastAsia="宋体" w:cs="宋体"/>
                <w:i w:val="0"/>
                <w:color w:val="auto"/>
                <w:kern w:val="0"/>
                <w:sz w:val="20"/>
                <w:szCs w:val="20"/>
                <w:u w:val="none"/>
                <w:lang w:val="en-US" w:eastAsia="zh-CN" w:bidi="ar"/>
              </w:rPr>
              <w:t>12</w:t>
            </w:r>
          </w:p>
        </w:tc>
        <w:tc>
          <w:tcPr>
            <w:tcW w:w="121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GH-17111</w:t>
            </w:r>
          </w:p>
        </w:tc>
        <w:tc>
          <w:tcPr>
            <w:tcW w:w="16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王晓鸽</w:t>
            </w:r>
          </w:p>
        </w:tc>
        <w:tc>
          <w:tcPr>
            <w:tcW w:w="75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ind w:left="0" w:leftChars="0" w:firstLine="220" w:firstLineChars="110"/>
              <w:jc w:val="left"/>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基于现代学徒制高职冶金类专业进阶式实践教学模式的研究</w:t>
            </w:r>
          </w:p>
        </w:tc>
        <w:tc>
          <w:tcPr>
            <w:tcW w:w="304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良好</w:t>
            </w:r>
          </w:p>
        </w:tc>
      </w:tr>
      <w:tr>
        <w:tblPrEx>
          <w:tblCellMar>
            <w:top w:w="0" w:type="dxa"/>
            <w:left w:w="0" w:type="dxa"/>
            <w:bottom w:w="0" w:type="dxa"/>
            <w:right w:w="0" w:type="dxa"/>
          </w:tblCellMar>
        </w:tblPrEx>
        <w:trPr>
          <w:trHeight w:val="480" w:hRule="atLeast"/>
        </w:trPr>
        <w:tc>
          <w:tcPr>
            <w:tcW w:w="54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auto"/>
                <w:sz w:val="20"/>
                <w:szCs w:val="20"/>
                <w:u w:val="none"/>
                <w:lang w:val="en-US"/>
              </w:rPr>
            </w:pPr>
            <w:r>
              <w:rPr>
                <w:rFonts w:hint="eastAsia" w:ascii="宋体" w:hAnsi="宋体" w:eastAsia="宋体" w:cs="宋体"/>
                <w:i w:val="0"/>
                <w:color w:val="auto"/>
                <w:kern w:val="0"/>
                <w:sz w:val="20"/>
                <w:szCs w:val="20"/>
                <w:u w:val="none"/>
                <w:lang w:val="en-US" w:eastAsia="zh-CN" w:bidi="ar"/>
              </w:rPr>
              <w:t>13</w:t>
            </w:r>
          </w:p>
        </w:tc>
        <w:tc>
          <w:tcPr>
            <w:tcW w:w="121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ZX-18113</w:t>
            </w:r>
          </w:p>
        </w:tc>
        <w:tc>
          <w:tcPr>
            <w:tcW w:w="16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陈清胜</w:t>
            </w:r>
          </w:p>
        </w:tc>
        <w:tc>
          <w:tcPr>
            <w:tcW w:w="75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ind w:left="0" w:leftChars="0" w:firstLine="220" w:firstLineChars="110"/>
              <w:jc w:val="left"/>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依托山西地方产业的高职院校专业群建设研究</w:t>
            </w:r>
            <w:bookmarkStart w:id="0" w:name="_GoBack"/>
            <w:bookmarkEnd w:id="0"/>
          </w:p>
        </w:tc>
        <w:tc>
          <w:tcPr>
            <w:tcW w:w="304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良好</w:t>
            </w:r>
          </w:p>
        </w:tc>
      </w:tr>
      <w:tr>
        <w:tblPrEx>
          <w:tblCellMar>
            <w:top w:w="0" w:type="dxa"/>
            <w:left w:w="0" w:type="dxa"/>
            <w:bottom w:w="0" w:type="dxa"/>
            <w:right w:w="0" w:type="dxa"/>
          </w:tblCellMar>
        </w:tblPrEx>
        <w:trPr>
          <w:trHeight w:val="480" w:hRule="atLeast"/>
        </w:trPr>
        <w:tc>
          <w:tcPr>
            <w:tcW w:w="54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auto"/>
                <w:sz w:val="20"/>
                <w:szCs w:val="20"/>
                <w:u w:val="none"/>
                <w:lang w:val="en-US"/>
              </w:rPr>
            </w:pPr>
            <w:r>
              <w:rPr>
                <w:rFonts w:hint="eastAsia" w:ascii="宋体" w:hAnsi="宋体" w:eastAsia="宋体" w:cs="宋体"/>
                <w:i w:val="0"/>
                <w:color w:val="auto"/>
                <w:kern w:val="0"/>
                <w:sz w:val="20"/>
                <w:szCs w:val="20"/>
                <w:u w:val="none"/>
                <w:lang w:val="en-US" w:eastAsia="zh-CN" w:bidi="ar"/>
              </w:rPr>
              <w:t>14</w:t>
            </w:r>
          </w:p>
        </w:tc>
        <w:tc>
          <w:tcPr>
            <w:tcW w:w="121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ZX-18115</w:t>
            </w:r>
          </w:p>
        </w:tc>
        <w:tc>
          <w:tcPr>
            <w:tcW w:w="16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侯向东</w:t>
            </w:r>
          </w:p>
        </w:tc>
        <w:tc>
          <w:tcPr>
            <w:tcW w:w="75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ind w:left="0" w:leftChars="0" w:firstLine="220" w:firstLineChars="110"/>
              <w:jc w:val="left"/>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冶金类高职院校专业群协同创新模式研究</w:t>
            </w:r>
          </w:p>
        </w:tc>
        <w:tc>
          <w:tcPr>
            <w:tcW w:w="304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良好</w:t>
            </w:r>
          </w:p>
        </w:tc>
      </w:tr>
      <w:tr>
        <w:tblPrEx>
          <w:tblCellMar>
            <w:top w:w="0" w:type="dxa"/>
            <w:left w:w="0" w:type="dxa"/>
            <w:bottom w:w="0" w:type="dxa"/>
            <w:right w:w="0" w:type="dxa"/>
          </w:tblCellMar>
        </w:tblPrEx>
        <w:trPr>
          <w:trHeight w:val="480" w:hRule="atLeast"/>
        </w:trPr>
        <w:tc>
          <w:tcPr>
            <w:tcW w:w="54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auto"/>
                <w:sz w:val="20"/>
                <w:szCs w:val="20"/>
                <w:u w:val="none"/>
                <w:lang w:val="en-US"/>
              </w:rPr>
            </w:pPr>
            <w:r>
              <w:rPr>
                <w:rFonts w:hint="eastAsia" w:ascii="宋体" w:hAnsi="宋体" w:eastAsia="宋体" w:cs="宋体"/>
                <w:i w:val="0"/>
                <w:color w:val="auto"/>
                <w:kern w:val="0"/>
                <w:sz w:val="20"/>
                <w:szCs w:val="20"/>
                <w:u w:val="none"/>
                <w:lang w:val="en-US" w:eastAsia="zh-CN" w:bidi="ar"/>
              </w:rPr>
              <w:t>15</w:t>
            </w:r>
          </w:p>
        </w:tc>
        <w:tc>
          <w:tcPr>
            <w:tcW w:w="121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ZX-18117</w:t>
            </w:r>
          </w:p>
        </w:tc>
        <w:tc>
          <w:tcPr>
            <w:tcW w:w="16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薛凯娟</w:t>
            </w:r>
          </w:p>
        </w:tc>
        <w:tc>
          <w:tcPr>
            <w:tcW w:w="75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ind w:left="0" w:leftChars="0" w:firstLine="220" w:firstLineChars="110"/>
              <w:jc w:val="left"/>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新时代背景下高职创新创业人才培养教育机制的研究与实践</w:t>
            </w:r>
          </w:p>
        </w:tc>
        <w:tc>
          <w:tcPr>
            <w:tcW w:w="304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良好</w:t>
            </w:r>
          </w:p>
        </w:tc>
      </w:tr>
      <w:tr>
        <w:tblPrEx>
          <w:tblCellMar>
            <w:top w:w="0" w:type="dxa"/>
            <w:left w:w="0" w:type="dxa"/>
            <w:bottom w:w="0" w:type="dxa"/>
            <w:right w:w="0" w:type="dxa"/>
          </w:tblCellMar>
        </w:tblPrEx>
        <w:trPr>
          <w:trHeight w:val="480" w:hRule="atLeast"/>
        </w:trPr>
        <w:tc>
          <w:tcPr>
            <w:tcW w:w="54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auto"/>
                <w:sz w:val="20"/>
                <w:szCs w:val="20"/>
                <w:u w:val="none"/>
                <w:lang w:val="en-US"/>
              </w:rPr>
            </w:pPr>
            <w:r>
              <w:rPr>
                <w:rFonts w:hint="eastAsia" w:ascii="宋体" w:hAnsi="宋体" w:eastAsia="宋体" w:cs="宋体"/>
                <w:i w:val="0"/>
                <w:color w:val="auto"/>
                <w:kern w:val="0"/>
                <w:sz w:val="20"/>
                <w:szCs w:val="20"/>
                <w:u w:val="none"/>
                <w:lang w:val="en-US" w:eastAsia="zh-CN" w:bidi="ar"/>
              </w:rPr>
              <w:t>16</w:t>
            </w:r>
          </w:p>
        </w:tc>
        <w:tc>
          <w:tcPr>
            <w:tcW w:w="121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ZX-18118</w:t>
            </w:r>
          </w:p>
        </w:tc>
        <w:tc>
          <w:tcPr>
            <w:tcW w:w="16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常  娟</w:t>
            </w:r>
          </w:p>
        </w:tc>
        <w:tc>
          <w:tcPr>
            <w:tcW w:w="75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ind w:left="0" w:leftChars="0" w:firstLine="220" w:firstLineChars="110"/>
              <w:jc w:val="left"/>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高职院校双创教育实践模式研究</w:t>
            </w:r>
          </w:p>
        </w:tc>
        <w:tc>
          <w:tcPr>
            <w:tcW w:w="304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良好</w:t>
            </w:r>
          </w:p>
        </w:tc>
      </w:tr>
      <w:tr>
        <w:tblPrEx>
          <w:tblCellMar>
            <w:top w:w="0" w:type="dxa"/>
            <w:left w:w="0" w:type="dxa"/>
            <w:bottom w:w="0" w:type="dxa"/>
            <w:right w:w="0" w:type="dxa"/>
          </w:tblCellMar>
        </w:tblPrEx>
        <w:trPr>
          <w:trHeight w:val="480" w:hRule="atLeast"/>
        </w:trPr>
        <w:tc>
          <w:tcPr>
            <w:tcW w:w="54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auto"/>
                <w:sz w:val="20"/>
                <w:szCs w:val="20"/>
                <w:u w:val="none"/>
                <w:lang w:val="en-US"/>
              </w:rPr>
            </w:pPr>
            <w:r>
              <w:rPr>
                <w:rFonts w:hint="eastAsia" w:ascii="宋体" w:hAnsi="宋体" w:eastAsia="宋体" w:cs="宋体"/>
                <w:i w:val="0"/>
                <w:color w:val="auto"/>
                <w:kern w:val="0"/>
                <w:sz w:val="20"/>
                <w:szCs w:val="20"/>
                <w:u w:val="none"/>
                <w:lang w:val="en-US" w:eastAsia="zh-CN" w:bidi="ar"/>
              </w:rPr>
              <w:t>17</w:t>
            </w:r>
          </w:p>
        </w:tc>
        <w:tc>
          <w:tcPr>
            <w:tcW w:w="121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GH-16131</w:t>
            </w:r>
          </w:p>
        </w:tc>
        <w:tc>
          <w:tcPr>
            <w:tcW w:w="16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郑留伟</w:t>
            </w:r>
          </w:p>
        </w:tc>
        <w:tc>
          <w:tcPr>
            <w:tcW w:w="75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ind w:left="0" w:leftChars="0" w:firstLine="220" w:firstLineChars="110"/>
              <w:jc w:val="left"/>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高职材料类专业实践教学体系的构建与实践</w:t>
            </w:r>
          </w:p>
        </w:tc>
        <w:tc>
          <w:tcPr>
            <w:tcW w:w="304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合格</w:t>
            </w:r>
          </w:p>
        </w:tc>
      </w:tr>
      <w:tr>
        <w:tblPrEx>
          <w:tblCellMar>
            <w:top w:w="0" w:type="dxa"/>
            <w:left w:w="0" w:type="dxa"/>
            <w:bottom w:w="0" w:type="dxa"/>
            <w:right w:w="0" w:type="dxa"/>
          </w:tblCellMar>
        </w:tblPrEx>
        <w:trPr>
          <w:trHeight w:val="480" w:hRule="atLeast"/>
        </w:trPr>
        <w:tc>
          <w:tcPr>
            <w:tcW w:w="54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auto"/>
                <w:sz w:val="20"/>
                <w:szCs w:val="20"/>
                <w:u w:val="none"/>
                <w:lang w:val="en-US"/>
              </w:rPr>
            </w:pPr>
            <w:r>
              <w:rPr>
                <w:rFonts w:hint="eastAsia" w:ascii="宋体" w:hAnsi="宋体" w:eastAsia="宋体" w:cs="宋体"/>
                <w:i w:val="0"/>
                <w:color w:val="auto"/>
                <w:kern w:val="0"/>
                <w:sz w:val="20"/>
                <w:szCs w:val="20"/>
                <w:u w:val="none"/>
                <w:lang w:val="en-US" w:eastAsia="zh-CN" w:bidi="ar"/>
              </w:rPr>
              <w:t>18</w:t>
            </w:r>
          </w:p>
        </w:tc>
        <w:tc>
          <w:tcPr>
            <w:tcW w:w="121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GH-16137</w:t>
            </w:r>
          </w:p>
        </w:tc>
        <w:tc>
          <w:tcPr>
            <w:tcW w:w="16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马  双</w:t>
            </w:r>
          </w:p>
        </w:tc>
        <w:tc>
          <w:tcPr>
            <w:tcW w:w="75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ind w:left="0" w:leftChars="0" w:firstLine="220" w:firstLineChars="110"/>
              <w:jc w:val="left"/>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道路曲线放样实验教学半实物与虚拟仿真平台建设</w:t>
            </w:r>
          </w:p>
        </w:tc>
        <w:tc>
          <w:tcPr>
            <w:tcW w:w="304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合格</w:t>
            </w:r>
          </w:p>
        </w:tc>
      </w:tr>
      <w:tr>
        <w:tblPrEx>
          <w:tblCellMar>
            <w:top w:w="0" w:type="dxa"/>
            <w:left w:w="0" w:type="dxa"/>
            <w:bottom w:w="0" w:type="dxa"/>
            <w:right w:w="0" w:type="dxa"/>
          </w:tblCellMar>
        </w:tblPrEx>
        <w:trPr>
          <w:trHeight w:val="480" w:hRule="atLeast"/>
        </w:trPr>
        <w:tc>
          <w:tcPr>
            <w:tcW w:w="54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auto"/>
                <w:sz w:val="20"/>
                <w:szCs w:val="20"/>
                <w:u w:val="none"/>
                <w:lang w:val="en-US"/>
              </w:rPr>
            </w:pPr>
            <w:r>
              <w:rPr>
                <w:rFonts w:hint="eastAsia" w:ascii="宋体" w:hAnsi="宋体" w:eastAsia="宋体" w:cs="宋体"/>
                <w:i w:val="0"/>
                <w:color w:val="auto"/>
                <w:kern w:val="0"/>
                <w:sz w:val="20"/>
                <w:szCs w:val="20"/>
                <w:u w:val="none"/>
                <w:lang w:val="en-US" w:eastAsia="zh-CN" w:bidi="ar"/>
              </w:rPr>
              <w:t>19</w:t>
            </w:r>
          </w:p>
        </w:tc>
        <w:tc>
          <w:tcPr>
            <w:tcW w:w="121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GH-16138</w:t>
            </w:r>
          </w:p>
        </w:tc>
        <w:tc>
          <w:tcPr>
            <w:tcW w:w="16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肖  华</w:t>
            </w:r>
          </w:p>
        </w:tc>
        <w:tc>
          <w:tcPr>
            <w:tcW w:w="75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ind w:left="0" w:leftChars="0" w:firstLine="220" w:firstLineChars="110"/>
              <w:jc w:val="left"/>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目前测绘类高等职业教育存在的若干问题与应对措施</w:t>
            </w:r>
          </w:p>
        </w:tc>
        <w:tc>
          <w:tcPr>
            <w:tcW w:w="304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合格</w:t>
            </w:r>
          </w:p>
        </w:tc>
      </w:tr>
      <w:tr>
        <w:tblPrEx>
          <w:tblCellMar>
            <w:top w:w="0" w:type="dxa"/>
            <w:left w:w="0" w:type="dxa"/>
            <w:bottom w:w="0" w:type="dxa"/>
            <w:right w:w="0" w:type="dxa"/>
          </w:tblCellMar>
        </w:tblPrEx>
        <w:trPr>
          <w:trHeight w:val="480" w:hRule="atLeast"/>
        </w:trPr>
        <w:tc>
          <w:tcPr>
            <w:tcW w:w="54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auto"/>
                <w:sz w:val="20"/>
                <w:szCs w:val="20"/>
                <w:u w:val="none"/>
                <w:lang w:val="en-US"/>
              </w:rPr>
            </w:pPr>
            <w:r>
              <w:rPr>
                <w:rFonts w:hint="eastAsia" w:ascii="宋体" w:hAnsi="宋体" w:eastAsia="宋体" w:cs="宋体"/>
                <w:i w:val="0"/>
                <w:color w:val="auto"/>
                <w:kern w:val="0"/>
                <w:sz w:val="20"/>
                <w:szCs w:val="20"/>
                <w:u w:val="none"/>
                <w:lang w:val="en-US" w:eastAsia="zh-CN" w:bidi="ar"/>
              </w:rPr>
              <w:t>20</w:t>
            </w:r>
          </w:p>
        </w:tc>
        <w:tc>
          <w:tcPr>
            <w:tcW w:w="121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GH-16139</w:t>
            </w:r>
          </w:p>
        </w:tc>
        <w:tc>
          <w:tcPr>
            <w:tcW w:w="16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曹丽萍</w:t>
            </w:r>
          </w:p>
        </w:tc>
        <w:tc>
          <w:tcPr>
            <w:tcW w:w="75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ind w:left="0" w:leftChars="0" w:firstLine="220" w:firstLineChars="110"/>
              <w:jc w:val="left"/>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BIM技术在高职院校建筑工程专业的推广应用研究</w:t>
            </w:r>
          </w:p>
        </w:tc>
        <w:tc>
          <w:tcPr>
            <w:tcW w:w="304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合格</w:t>
            </w:r>
          </w:p>
        </w:tc>
      </w:tr>
      <w:tr>
        <w:tblPrEx>
          <w:tblCellMar>
            <w:top w:w="0" w:type="dxa"/>
            <w:left w:w="0" w:type="dxa"/>
            <w:bottom w:w="0" w:type="dxa"/>
            <w:right w:w="0" w:type="dxa"/>
          </w:tblCellMar>
        </w:tblPrEx>
        <w:trPr>
          <w:trHeight w:val="570" w:hRule="atLeast"/>
        </w:trPr>
        <w:tc>
          <w:tcPr>
            <w:tcW w:w="54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auto"/>
                <w:sz w:val="20"/>
                <w:szCs w:val="20"/>
                <w:u w:val="none"/>
                <w:lang w:val="en-US"/>
              </w:rPr>
            </w:pPr>
            <w:r>
              <w:rPr>
                <w:rFonts w:hint="eastAsia" w:ascii="宋体" w:hAnsi="宋体" w:eastAsia="宋体" w:cs="宋体"/>
                <w:i w:val="0"/>
                <w:color w:val="auto"/>
                <w:kern w:val="0"/>
                <w:sz w:val="20"/>
                <w:szCs w:val="20"/>
                <w:u w:val="none"/>
                <w:lang w:val="en-US" w:eastAsia="zh-CN" w:bidi="ar"/>
              </w:rPr>
              <w:t>21</w:t>
            </w:r>
          </w:p>
        </w:tc>
        <w:tc>
          <w:tcPr>
            <w:tcW w:w="121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GH-17108</w:t>
            </w:r>
          </w:p>
        </w:tc>
        <w:tc>
          <w:tcPr>
            <w:tcW w:w="16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秦华伟</w:t>
            </w:r>
          </w:p>
        </w:tc>
        <w:tc>
          <w:tcPr>
            <w:tcW w:w="75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ind w:left="0" w:leftChars="0" w:firstLine="220" w:firstLineChars="110"/>
              <w:jc w:val="left"/>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工业机器人生产性双创基地建设与双创人才培养协同发展的探索与研究</w:t>
            </w:r>
          </w:p>
        </w:tc>
        <w:tc>
          <w:tcPr>
            <w:tcW w:w="304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合格</w:t>
            </w:r>
          </w:p>
        </w:tc>
      </w:tr>
      <w:tr>
        <w:tblPrEx>
          <w:tblCellMar>
            <w:top w:w="0" w:type="dxa"/>
            <w:left w:w="0" w:type="dxa"/>
            <w:bottom w:w="0" w:type="dxa"/>
            <w:right w:w="0" w:type="dxa"/>
          </w:tblCellMar>
        </w:tblPrEx>
        <w:trPr>
          <w:trHeight w:val="480" w:hRule="atLeast"/>
        </w:trPr>
        <w:tc>
          <w:tcPr>
            <w:tcW w:w="54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auto"/>
                <w:sz w:val="20"/>
                <w:szCs w:val="20"/>
                <w:u w:val="none"/>
                <w:lang w:val="en-US"/>
              </w:rPr>
            </w:pPr>
            <w:r>
              <w:rPr>
                <w:rFonts w:hint="eastAsia" w:ascii="宋体" w:hAnsi="宋体" w:eastAsia="宋体" w:cs="宋体"/>
                <w:i w:val="0"/>
                <w:color w:val="auto"/>
                <w:kern w:val="0"/>
                <w:sz w:val="20"/>
                <w:szCs w:val="20"/>
                <w:u w:val="none"/>
                <w:lang w:val="en-US" w:eastAsia="zh-CN" w:bidi="ar"/>
              </w:rPr>
              <w:t>22</w:t>
            </w:r>
          </w:p>
        </w:tc>
        <w:tc>
          <w:tcPr>
            <w:tcW w:w="121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GH-17110</w:t>
            </w:r>
          </w:p>
        </w:tc>
        <w:tc>
          <w:tcPr>
            <w:tcW w:w="16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乔仙蓉</w:t>
            </w:r>
          </w:p>
        </w:tc>
        <w:tc>
          <w:tcPr>
            <w:tcW w:w="75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ind w:left="0" w:leftChars="0" w:firstLine="220" w:firstLineChars="110"/>
              <w:jc w:val="left"/>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工业分析技术专业实践教学资源的开发研究</w:t>
            </w:r>
          </w:p>
        </w:tc>
        <w:tc>
          <w:tcPr>
            <w:tcW w:w="304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合格</w:t>
            </w:r>
          </w:p>
        </w:tc>
      </w:tr>
      <w:tr>
        <w:tblPrEx>
          <w:tblCellMar>
            <w:top w:w="0" w:type="dxa"/>
            <w:left w:w="0" w:type="dxa"/>
            <w:bottom w:w="0" w:type="dxa"/>
            <w:right w:w="0" w:type="dxa"/>
          </w:tblCellMar>
        </w:tblPrEx>
        <w:trPr>
          <w:trHeight w:val="480" w:hRule="atLeast"/>
        </w:trPr>
        <w:tc>
          <w:tcPr>
            <w:tcW w:w="54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auto"/>
                <w:sz w:val="20"/>
                <w:szCs w:val="20"/>
                <w:u w:val="none"/>
                <w:lang w:val="en-US"/>
              </w:rPr>
            </w:pPr>
            <w:r>
              <w:rPr>
                <w:rFonts w:hint="eastAsia" w:ascii="宋体" w:hAnsi="宋体" w:eastAsia="宋体" w:cs="宋体"/>
                <w:i w:val="0"/>
                <w:color w:val="auto"/>
                <w:kern w:val="0"/>
                <w:sz w:val="20"/>
                <w:szCs w:val="20"/>
                <w:u w:val="none"/>
                <w:lang w:val="en-US" w:eastAsia="zh-CN" w:bidi="ar"/>
              </w:rPr>
              <w:t>23</w:t>
            </w:r>
          </w:p>
        </w:tc>
        <w:tc>
          <w:tcPr>
            <w:tcW w:w="121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ZX-18112</w:t>
            </w:r>
          </w:p>
        </w:tc>
        <w:tc>
          <w:tcPr>
            <w:tcW w:w="16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徐旭宁</w:t>
            </w:r>
          </w:p>
        </w:tc>
        <w:tc>
          <w:tcPr>
            <w:tcW w:w="75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ind w:left="0" w:leftChars="0" w:firstLine="220" w:firstLineChars="110"/>
              <w:jc w:val="left"/>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基于“工匠精神”的高职院校职业素质教育思路探析</w:t>
            </w:r>
          </w:p>
        </w:tc>
        <w:tc>
          <w:tcPr>
            <w:tcW w:w="304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合格</w:t>
            </w:r>
          </w:p>
        </w:tc>
      </w:tr>
      <w:tr>
        <w:tblPrEx>
          <w:tblCellMar>
            <w:top w:w="0" w:type="dxa"/>
            <w:left w:w="0" w:type="dxa"/>
            <w:bottom w:w="0" w:type="dxa"/>
            <w:right w:w="0" w:type="dxa"/>
          </w:tblCellMar>
        </w:tblPrEx>
        <w:trPr>
          <w:trHeight w:val="570" w:hRule="atLeast"/>
        </w:trPr>
        <w:tc>
          <w:tcPr>
            <w:tcW w:w="54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auto"/>
                <w:sz w:val="20"/>
                <w:szCs w:val="20"/>
                <w:u w:val="none"/>
                <w:lang w:val="en-US"/>
              </w:rPr>
            </w:pPr>
            <w:r>
              <w:rPr>
                <w:rFonts w:hint="eastAsia" w:ascii="宋体" w:hAnsi="宋体" w:eastAsia="宋体" w:cs="宋体"/>
                <w:i w:val="0"/>
                <w:color w:val="auto"/>
                <w:kern w:val="0"/>
                <w:sz w:val="20"/>
                <w:szCs w:val="20"/>
                <w:u w:val="none"/>
                <w:lang w:val="en-US" w:eastAsia="zh-CN" w:bidi="ar"/>
              </w:rPr>
              <w:t>24</w:t>
            </w:r>
          </w:p>
        </w:tc>
        <w:tc>
          <w:tcPr>
            <w:tcW w:w="121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ZX-18114</w:t>
            </w:r>
          </w:p>
        </w:tc>
        <w:tc>
          <w:tcPr>
            <w:tcW w:w="16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吉龙华</w:t>
            </w:r>
          </w:p>
        </w:tc>
        <w:tc>
          <w:tcPr>
            <w:tcW w:w="75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ind w:left="0" w:leftChars="0" w:firstLine="220" w:firstLineChars="110"/>
              <w:jc w:val="left"/>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基于“1331工程”的职业院校景观设计教学改革创新研究——以轨道交通景观为例</w:t>
            </w:r>
          </w:p>
        </w:tc>
        <w:tc>
          <w:tcPr>
            <w:tcW w:w="304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合格</w:t>
            </w:r>
          </w:p>
        </w:tc>
      </w:tr>
      <w:tr>
        <w:tblPrEx>
          <w:tblCellMar>
            <w:top w:w="0" w:type="dxa"/>
            <w:left w:w="0" w:type="dxa"/>
            <w:bottom w:w="0" w:type="dxa"/>
            <w:right w:w="0" w:type="dxa"/>
          </w:tblCellMar>
        </w:tblPrEx>
        <w:trPr>
          <w:trHeight w:val="480" w:hRule="atLeast"/>
        </w:trPr>
        <w:tc>
          <w:tcPr>
            <w:tcW w:w="54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auto"/>
                <w:sz w:val="20"/>
                <w:szCs w:val="20"/>
                <w:u w:val="none"/>
                <w:lang w:val="en-US"/>
              </w:rPr>
            </w:pPr>
            <w:r>
              <w:rPr>
                <w:rFonts w:hint="eastAsia" w:ascii="宋体" w:hAnsi="宋体" w:eastAsia="宋体" w:cs="宋体"/>
                <w:i w:val="0"/>
                <w:color w:val="auto"/>
                <w:kern w:val="0"/>
                <w:sz w:val="20"/>
                <w:szCs w:val="20"/>
                <w:u w:val="none"/>
                <w:lang w:val="en-US" w:eastAsia="zh-CN" w:bidi="ar"/>
              </w:rPr>
              <w:t>25</w:t>
            </w:r>
          </w:p>
        </w:tc>
        <w:tc>
          <w:tcPr>
            <w:tcW w:w="121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ZX-18116</w:t>
            </w:r>
          </w:p>
        </w:tc>
        <w:tc>
          <w:tcPr>
            <w:tcW w:w="16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赵涓涓</w:t>
            </w:r>
          </w:p>
        </w:tc>
        <w:tc>
          <w:tcPr>
            <w:tcW w:w="75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ind w:left="0" w:leftChars="0" w:firstLine="220" w:firstLineChars="110"/>
              <w:jc w:val="left"/>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高职院校协同创新平台提升社会服务能力的研究</w:t>
            </w:r>
          </w:p>
        </w:tc>
        <w:tc>
          <w:tcPr>
            <w:tcW w:w="304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合格</w:t>
            </w:r>
          </w:p>
        </w:tc>
      </w:tr>
      <w:tr>
        <w:tblPrEx>
          <w:tblCellMar>
            <w:top w:w="0" w:type="dxa"/>
            <w:left w:w="0" w:type="dxa"/>
            <w:bottom w:w="0" w:type="dxa"/>
            <w:right w:w="0" w:type="dxa"/>
          </w:tblCellMar>
        </w:tblPrEx>
        <w:trPr>
          <w:trHeight w:val="480" w:hRule="atLeast"/>
        </w:trPr>
        <w:tc>
          <w:tcPr>
            <w:tcW w:w="54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auto"/>
                <w:sz w:val="20"/>
                <w:szCs w:val="20"/>
                <w:u w:val="none"/>
                <w:lang w:val="en-US"/>
              </w:rPr>
            </w:pPr>
            <w:r>
              <w:rPr>
                <w:rFonts w:hint="eastAsia" w:ascii="宋体" w:hAnsi="宋体" w:eastAsia="宋体" w:cs="宋体"/>
                <w:i w:val="0"/>
                <w:color w:val="auto"/>
                <w:kern w:val="0"/>
                <w:sz w:val="20"/>
                <w:szCs w:val="20"/>
                <w:u w:val="none"/>
                <w:lang w:val="en-US" w:eastAsia="zh-CN" w:bidi="ar"/>
              </w:rPr>
              <w:t>26</w:t>
            </w:r>
          </w:p>
        </w:tc>
        <w:tc>
          <w:tcPr>
            <w:tcW w:w="121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GH-16141</w:t>
            </w:r>
          </w:p>
        </w:tc>
        <w:tc>
          <w:tcPr>
            <w:tcW w:w="16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王  琪</w:t>
            </w:r>
          </w:p>
        </w:tc>
        <w:tc>
          <w:tcPr>
            <w:tcW w:w="75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ind w:left="0" w:leftChars="0" w:firstLine="220" w:firstLineChars="110"/>
              <w:jc w:val="left"/>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习近平世界文明多样性思想研究</w:t>
            </w:r>
          </w:p>
        </w:tc>
        <w:tc>
          <w:tcPr>
            <w:tcW w:w="304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合格</w:t>
            </w:r>
          </w:p>
        </w:tc>
      </w:tr>
      <w:tr>
        <w:tblPrEx>
          <w:tblCellMar>
            <w:top w:w="0" w:type="dxa"/>
            <w:left w:w="0" w:type="dxa"/>
            <w:bottom w:w="0" w:type="dxa"/>
            <w:right w:w="0" w:type="dxa"/>
          </w:tblCellMar>
        </w:tblPrEx>
        <w:trPr>
          <w:trHeight w:val="480" w:hRule="atLeast"/>
        </w:trPr>
        <w:tc>
          <w:tcPr>
            <w:tcW w:w="54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auto"/>
                <w:sz w:val="20"/>
                <w:szCs w:val="20"/>
                <w:u w:val="none"/>
                <w:lang w:val="en-US"/>
              </w:rPr>
            </w:pPr>
            <w:r>
              <w:rPr>
                <w:rFonts w:hint="eastAsia" w:ascii="宋体" w:hAnsi="宋体" w:eastAsia="宋体" w:cs="宋体"/>
                <w:i w:val="0"/>
                <w:color w:val="auto"/>
                <w:kern w:val="0"/>
                <w:sz w:val="20"/>
                <w:szCs w:val="20"/>
                <w:u w:val="none"/>
                <w:lang w:val="en-US" w:eastAsia="zh-CN" w:bidi="ar"/>
              </w:rPr>
              <w:t>27</w:t>
            </w:r>
          </w:p>
        </w:tc>
        <w:tc>
          <w:tcPr>
            <w:tcW w:w="121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GH-17113</w:t>
            </w:r>
          </w:p>
        </w:tc>
        <w:tc>
          <w:tcPr>
            <w:tcW w:w="16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陈莉蓉</w:t>
            </w:r>
          </w:p>
        </w:tc>
        <w:tc>
          <w:tcPr>
            <w:tcW w:w="75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ind w:left="0" w:leftChars="0" w:firstLine="220" w:firstLineChars="110"/>
              <w:jc w:val="left"/>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充分利用新媒体创新高校思想政治理论课教育教学模式研究</w:t>
            </w:r>
          </w:p>
        </w:tc>
        <w:tc>
          <w:tcPr>
            <w:tcW w:w="304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合格</w:t>
            </w:r>
          </w:p>
        </w:tc>
      </w:tr>
      <w:tr>
        <w:tblPrEx>
          <w:tblCellMar>
            <w:top w:w="0" w:type="dxa"/>
            <w:left w:w="0" w:type="dxa"/>
            <w:bottom w:w="0" w:type="dxa"/>
            <w:right w:w="0" w:type="dxa"/>
          </w:tblCellMar>
        </w:tblPrEx>
        <w:trPr>
          <w:trHeight w:val="480" w:hRule="atLeast"/>
        </w:trPr>
        <w:tc>
          <w:tcPr>
            <w:tcW w:w="54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auto"/>
                <w:sz w:val="20"/>
                <w:szCs w:val="20"/>
                <w:u w:val="none"/>
                <w:lang w:val="en-US"/>
              </w:rPr>
            </w:pPr>
            <w:r>
              <w:rPr>
                <w:rFonts w:hint="eastAsia" w:ascii="宋体" w:hAnsi="宋体" w:eastAsia="宋体" w:cs="宋体"/>
                <w:i w:val="0"/>
                <w:color w:val="auto"/>
                <w:kern w:val="0"/>
                <w:sz w:val="20"/>
                <w:szCs w:val="20"/>
                <w:u w:val="none"/>
                <w:lang w:val="en-US" w:eastAsia="zh-CN" w:bidi="ar"/>
              </w:rPr>
              <w:t>28</w:t>
            </w:r>
          </w:p>
        </w:tc>
        <w:tc>
          <w:tcPr>
            <w:tcW w:w="121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ZX-18120</w:t>
            </w:r>
          </w:p>
        </w:tc>
        <w:tc>
          <w:tcPr>
            <w:tcW w:w="16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李建平</w:t>
            </w:r>
          </w:p>
        </w:tc>
        <w:tc>
          <w:tcPr>
            <w:tcW w:w="75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ind w:left="0" w:leftChars="0" w:firstLine="220" w:firstLineChars="110"/>
              <w:jc w:val="left"/>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高职院校辅导员“立德树人”的实现路径研究</w:t>
            </w:r>
          </w:p>
        </w:tc>
        <w:tc>
          <w:tcPr>
            <w:tcW w:w="304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合格</w:t>
            </w:r>
          </w:p>
        </w:tc>
      </w:tr>
    </w:tbl>
    <w:p/>
    <w:sectPr>
      <w:pgSz w:w="16838" w:h="11906" w:orient="landscape"/>
      <w:pgMar w:top="1800" w:right="1440" w:bottom="1800"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5"/>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96E6079"/>
    <w:rsid w:val="0679711D"/>
    <w:rsid w:val="11774307"/>
    <w:rsid w:val="196E6079"/>
    <w:rsid w:val="24E82D57"/>
    <w:rsid w:val="27340144"/>
    <w:rsid w:val="295F7846"/>
    <w:rsid w:val="2D3728AF"/>
    <w:rsid w:val="2DE2491A"/>
    <w:rsid w:val="32585BBA"/>
    <w:rsid w:val="39570504"/>
    <w:rsid w:val="3DC91C4E"/>
    <w:rsid w:val="426F6622"/>
    <w:rsid w:val="44E503B0"/>
    <w:rsid w:val="4ECD1D45"/>
    <w:rsid w:val="50481ABE"/>
    <w:rsid w:val="5CD556C9"/>
    <w:rsid w:val="61F555D9"/>
    <w:rsid w:val="6EE327A1"/>
    <w:rsid w:val="76C90456"/>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39</TotalTime>
  <ScaleCrop>false</ScaleCrop>
  <LinksUpToDate>false</LinksUpToDate>
  <CharactersWithSpaces>0</CharactersWithSpaces>
  <Application>WPS Office_11.1.0.9145_F1E327BC-269C-435d-A152-05C5408002CA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2019-10-25T02:37:00Z</dcterms:created>
  <dc:creator>zq</dc:creator>
  <cp:lastModifiedBy>沫淋</cp:lastModifiedBy>
  <cp:lastPrinted>2019-10-28T02:42:00Z</cp:lastPrinted>
  <dcterms:modified xsi:type="dcterms:W3CDTF">2019-10-29T03:01:43Z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2052-11.1.0.9145</vt:lpwstr>
  </property>
</Properties>
</file>